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14" w:rsidRDefault="00E354BD">
      <w:pPr>
        <w:pStyle w:val="ConsPlusNormal0"/>
        <w:spacing w:line="23" w:lineRule="atLeast"/>
        <w:ind w:firstLine="0"/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Приложение</w:t>
      </w:r>
    </w:p>
    <w:p w:rsidR="00FB5014" w:rsidRDefault="00E354BD">
      <w:pPr>
        <w:pStyle w:val="ConsPlusNormal0"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УТВЕРЖДЕНА </w:t>
      </w:r>
    </w:p>
    <w:p w:rsidR="00FB5014" w:rsidRDefault="00E354BD">
      <w:pPr>
        <w:pStyle w:val="ConsPlusNormal0"/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постановлением главы </w:t>
      </w:r>
    </w:p>
    <w:p w:rsidR="00FB5014" w:rsidRDefault="00E354BD">
      <w:pPr>
        <w:pStyle w:val="ConsPlusNormal0"/>
        <w:spacing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городского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округа  Котельники</w:t>
      </w:r>
      <w:proofErr w:type="gramEnd"/>
    </w:p>
    <w:p w:rsidR="00FB5014" w:rsidRDefault="00E354BD">
      <w:pPr>
        <w:pStyle w:val="ConsPlusNormal0"/>
        <w:spacing w:line="23" w:lineRule="atLeast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                     от 24.03.2023 № 313-ПГ </w:t>
      </w:r>
    </w:p>
    <w:p w:rsidR="00FB5014" w:rsidRDefault="00FB5014">
      <w:pPr>
        <w:rPr>
          <w:sz w:val="28"/>
          <w:szCs w:val="28"/>
        </w:rPr>
      </w:pPr>
    </w:p>
    <w:p w:rsidR="00FB5014" w:rsidRDefault="00FB5014">
      <w:pPr>
        <w:pStyle w:val="Standard"/>
        <w:tabs>
          <w:tab w:val="left" w:pos="1812"/>
        </w:tabs>
        <w:jc w:val="both"/>
        <w:rPr>
          <w:b/>
          <w:sz w:val="28"/>
          <w:szCs w:val="28"/>
        </w:rPr>
      </w:pPr>
    </w:p>
    <w:p w:rsidR="00FB5014" w:rsidRDefault="00E354BD">
      <w:pPr>
        <w:pStyle w:val="Standard"/>
        <w:tabs>
          <w:tab w:val="left" w:pos="18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определения цены договора на право заключения договора             на размещение сезонного (</w:t>
      </w:r>
      <w:r>
        <w:rPr>
          <w:b/>
          <w:sz w:val="28"/>
          <w:szCs w:val="28"/>
        </w:rPr>
        <w:t>летнего) кафе при стационарных предприятиях общественного питания на территории городского округа Котельники Московской области</w:t>
      </w:r>
    </w:p>
    <w:p w:rsidR="00FB5014" w:rsidRDefault="00FB5014">
      <w:pPr>
        <w:pStyle w:val="Standard"/>
        <w:tabs>
          <w:tab w:val="left" w:pos="1812"/>
        </w:tabs>
        <w:jc w:val="center"/>
        <w:rPr>
          <w:b/>
          <w:sz w:val="28"/>
          <w:szCs w:val="28"/>
        </w:rPr>
      </w:pPr>
    </w:p>
    <w:p w:rsidR="00FB5014" w:rsidRDefault="00FB5014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FB5014" w:rsidRDefault="00E354BD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Настоящая Методика определяет принципы расчета цены договора на право заключения договора право заключения договора на размеще</w:t>
      </w:r>
      <w:r>
        <w:rPr>
          <w:sz w:val="28"/>
          <w:szCs w:val="28"/>
        </w:rPr>
        <w:t>ние сезонного (летнего) кафе при стационарных предприятиях общественного питания               на территории городского округа Котельники Московской области (далее – Методика определения цены договора) при предоставлении муниципальной услуги «Размещение се</w:t>
      </w:r>
      <w:r>
        <w:rPr>
          <w:sz w:val="28"/>
          <w:szCs w:val="28"/>
        </w:rPr>
        <w:t xml:space="preserve">зонного (летнего) кафе при стационарном предприятии общественного питания на территории городского округа Котельники Московской области». </w:t>
      </w:r>
    </w:p>
    <w:p w:rsidR="00FB5014" w:rsidRDefault="00E354BD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Цена договора на право заключения договора на размещение сезонного (летнего) кафе при стационарных предприятиях общес</w:t>
      </w:r>
      <w:r>
        <w:rPr>
          <w:sz w:val="28"/>
          <w:szCs w:val="28"/>
        </w:rPr>
        <w:t>твенного питания на территории городского округа Котельники Московской области рассчитывается                                                                  в соответствии с настоящей Методикой определения цены договора по следующей формуле:</w:t>
      </w:r>
    </w:p>
    <w:p w:rsidR="00FB5014" w:rsidRDefault="00FB5014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FB5014" w:rsidRDefault="00E354BD">
      <w:pPr>
        <w:spacing w:after="238" w:line="264" w:lineRule="auto"/>
        <w:ind w:left="224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Рпл</w:t>
      </w:r>
      <w:proofErr w:type="spellEnd"/>
      <w:r>
        <w:rPr>
          <w:b/>
          <w:sz w:val="28"/>
          <w:szCs w:val="28"/>
        </w:rPr>
        <w:t xml:space="preserve"> (12 мес</w:t>
      </w:r>
      <w:r>
        <w:rPr>
          <w:b/>
          <w:sz w:val="28"/>
          <w:szCs w:val="28"/>
        </w:rPr>
        <w:t xml:space="preserve">.) = </w:t>
      </w:r>
      <w:proofErr w:type="spellStart"/>
      <w:r>
        <w:rPr>
          <w:b/>
          <w:sz w:val="28"/>
          <w:szCs w:val="28"/>
        </w:rPr>
        <w:t>Бс</w:t>
      </w:r>
      <w:proofErr w:type="spellEnd"/>
      <w:r>
        <w:rPr>
          <w:b/>
          <w:sz w:val="28"/>
          <w:szCs w:val="28"/>
        </w:rPr>
        <w:t xml:space="preserve"> х Кд. х Км 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S(</w:t>
      </w:r>
      <w:proofErr w:type="spellStart"/>
      <w:r>
        <w:rPr>
          <w:b/>
          <w:sz w:val="28"/>
          <w:szCs w:val="28"/>
        </w:rPr>
        <w:t>кв.м</w:t>
      </w:r>
      <w:proofErr w:type="spellEnd"/>
      <w:r>
        <w:rPr>
          <w:b/>
          <w:sz w:val="28"/>
          <w:szCs w:val="28"/>
        </w:rPr>
        <w:t xml:space="preserve">) </w:t>
      </w:r>
    </w:p>
    <w:p w:rsidR="00FB5014" w:rsidRDefault="00E354BD">
      <w:pPr>
        <w:spacing w:after="240" w:line="264" w:lineRule="auto"/>
        <w:ind w:left="281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Рпл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менее 12 мес.) = </w:t>
      </w:r>
      <w:proofErr w:type="spellStart"/>
      <w:r>
        <w:rPr>
          <w:b/>
          <w:sz w:val="28"/>
          <w:szCs w:val="28"/>
        </w:rPr>
        <w:t>Бс</w:t>
      </w:r>
      <w:proofErr w:type="spellEnd"/>
      <w:r>
        <w:rPr>
          <w:b/>
          <w:sz w:val="28"/>
          <w:szCs w:val="28"/>
        </w:rPr>
        <w:t xml:space="preserve"> х Кд х Км х S(</w:t>
      </w:r>
      <w:proofErr w:type="spellStart"/>
      <w:r>
        <w:rPr>
          <w:b/>
          <w:sz w:val="28"/>
          <w:szCs w:val="28"/>
        </w:rPr>
        <w:t>кв.м</w:t>
      </w:r>
      <w:proofErr w:type="spellEnd"/>
      <w:r>
        <w:rPr>
          <w:b/>
          <w:sz w:val="28"/>
          <w:szCs w:val="28"/>
        </w:rPr>
        <w:t xml:space="preserve">)/12х (количество месяцев) </w:t>
      </w:r>
    </w:p>
    <w:p w:rsidR="00FB5014" w:rsidRDefault="00E354BD">
      <w:pPr>
        <w:spacing w:after="246" w:line="259" w:lineRule="auto"/>
        <w:ind w:right="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где: </w:t>
      </w:r>
    </w:p>
    <w:p w:rsidR="00FB5014" w:rsidRDefault="00E354BD">
      <w:pPr>
        <w:spacing w:after="240"/>
        <w:ind w:left="-5" w:right="6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Рпл</w:t>
      </w:r>
      <w:proofErr w:type="spellEnd"/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цена договора на право заключения договора на размещение сезонного (летнего) кафе при стационарных предприятиях общественного питания           </w:t>
      </w:r>
      <w:r>
        <w:rPr>
          <w:sz w:val="28"/>
          <w:szCs w:val="28"/>
        </w:rPr>
        <w:t xml:space="preserve">                              на территории городского округа Котельники Московской области.</w:t>
      </w:r>
      <w:r>
        <w:rPr>
          <w:b/>
          <w:sz w:val="28"/>
          <w:szCs w:val="28"/>
        </w:rPr>
        <w:t xml:space="preserve"> </w:t>
      </w:r>
    </w:p>
    <w:p w:rsidR="00FB5014" w:rsidRDefault="00E354BD">
      <w:pPr>
        <w:spacing w:after="242"/>
        <w:ind w:left="-5" w:right="6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Бс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базовый размер ставки на право заключения договора на размещение сезонного (летнего) кафе при стационарных предприятиях общественного питания на территории </w:t>
      </w:r>
      <w:r>
        <w:rPr>
          <w:sz w:val="28"/>
          <w:szCs w:val="28"/>
        </w:rPr>
        <w:t>городского округа Котельники Московской области         по городскому округу Котельники принимается в соответствии с Законом Московской области об установлении базового размера арендной платы                за земельные участки, находящиеся в собственности</w:t>
      </w:r>
      <w:r>
        <w:rPr>
          <w:sz w:val="28"/>
          <w:szCs w:val="28"/>
        </w:rPr>
        <w:t xml:space="preserve"> Московской области или государственная собственность на которые не разграничена на территории Московской области </w:t>
      </w:r>
      <w:r>
        <w:rPr>
          <w:sz w:val="28"/>
          <w:szCs w:val="28"/>
        </w:rPr>
        <w:lastRenderedPageBreak/>
        <w:t>рублей за квадратный метр;</w:t>
      </w:r>
      <w:r>
        <w:rPr>
          <w:b/>
          <w:sz w:val="28"/>
          <w:szCs w:val="28"/>
        </w:rPr>
        <w:t xml:space="preserve"> </w:t>
      </w:r>
    </w:p>
    <w:p w:rsidR="00FB5014" w:rsidRDefault="00E354BD">
      <w:pPr>
        <w:ind w:left="-5" w:right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S (</w:t>
      </w:r>
      <w:proofErr w:type="spellStart"/>
      <w:r>
        <w:rPr>
          <w:b/>
          <w:sz w:val="28"/>
          <w:szCs w:val="28"/>
        </w:rPr>
        <w:t>кв.м</w:t>
      </w:r>
      <w:proofErr w:type="spellEnd"/>
      <w:r>
        <w:rPr>
          <w:b/>
          <w:sz w:val="28"/>
          <w:szCs w:val="28"/>
        </w:rPr>
        <w:t xml:space="preserve">) – </w:t>
      </w:r>
      <w:r>
        <w:rPr>
          <w:sz w:val="28"/>
          <w:szCs w:val="28"/>
        </w:rPr>
        <w:t xml:space="preserve">общая площадь места размещения сезонного (летнего) кафе при стационарном предприятии питания; </w:t>
      </w:r>
    </w:p>
    <w:p w:rsidR="00FB5014" w:rsidRDefault="00FB5014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FB5014" w:rsidRDefault="00E354BD">
      <w:pPr>
        <w:spacing w:after="243"/>
        <w:ind w:left="-5" w:right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Кд –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эффициент, учитывающий вид специализации (деятельности) предпринимательство (Таблица №1);  </w:t>
      </w:r>
    </w:p>
    <w:p w:rsidR="00FB5014" w:rsidRDefault="00E354BD">
      <w:pPr>
        <w:spacing w:after="247"/>
        <w:ind w:left="-5" w:right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Км - </w:t>
      </w:r>
      <w:r>
        <w:rPr>
          <w:sz w:val="28"/>
          <w:szCs w:val="28"/>
        </w:rPr>
        <w:t>коэффициент, учитывающий места размещения сезонного (летнего) кафе при стационарных предприятиях общественного питания на территории городского округа Котельни</w:t>
      </w:r>
      <w:r>
        <w:rPr>
          <w:sz w:val="28"/>
          <w:szCs w:val="28"/>
        </w:rPr>
        <w:t xml:space="preserve">ки Московской области (Таблица №2); </w:t>
      </w:r>
    </w:p>
    <w:p w:rsidR="00FB5014" w:rsidRDefault="00E354BD">
      <w:pPr>
        <w:spacing w:after="4" w:line="264" w:lineRule="auto"/>
        <w:ind w:left="1934" w:hanging="127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Коэффициент, учитывающий вид специализации (деятельности) сезонного (летнего) кафе (Кд) (Таблица №1) </w:t>
      </w:r>
    </w:p>
    <w:tbl>
      <w:tblPr>
        <w:tblStyle w:val="TableGrid"/>
        <w:tblW w:w="9915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64" w:type="dxa"/>
          <w:left w:w="48" w:type="dxa"/>
          <w:bottom w:w="54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1244"/>
        <w:gridCol w:w="5811"/>
        <w:gridCol w:w="1999"/>
      </w:tblGrid>
      <w:tr w:rsidR="00FB5014">
        <w:trPr>
          <w:trHeight w:val="75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5014" w:rsidRDefault="00E354BD">
            <w:pPr>
              <w:spacing w:line="259" w:lineRule="auto"/>
              <w:ind w:left="60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14" w:rsidRDefault="00E354BD">
            <w:pPr>
              <w:spacing w:line="259" w:lineRule="auto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14" w:rsidRDefault="00E354BD">
            <w:pPr>
              <w:spacing w:line="259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Специализация (</w:t>
            </w:r>
            <w:proofErr w:type="gramStart"/>
            <w:r>
              <w:rPr>
                <w:rFonts w:eastAsiaTheme="minorEastAsia"/>
                <w:b/>
                <w:sz w:val="28"/>
                <w:szCs w:val="28"/>
              </w:rPr>
              <w:t xml:space="preserve">деятельность)  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014" w:rsidRDefault="00E354BD">
            <w:pPr>
              <w:spacing w:line="259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Кд </w:t>
            </w:r>
          </w:p>
        </w:tc>
      </w:tr>
      <w:tr w:rsidR="00FB5014">
        <w:trPr>
          <w:trHeight w:val="38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014" w:rsidRDefault="00E354BD">
            <w:pPr>
              <w:spacing w:line="259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14" w:rsidRDefault="00FB5014">
            <w:pPr>
              <w:spacing w:line="259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14" w:rsidRDefault="00E354BD">
            <w:pPr>
              <w:spacing w:line="259" w:lineRule="auto"/>
              <w:ind w:left="67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Предпринимательство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14" w:rsidRDefault="00E354BD">
            <w:pPr>
              <w:spacing w:line="259" w:lineRule="auto"/>
              <w:ind w:left="68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6 </w:t>
            </w:r>
          </w:p>
        </w:tc>
      </w:tr>
    </w:tbl>
    <w:p w:rsidR="00FB5014" w:rsidRDefault="00FB5014">
      <w:pPr>
        <w:ind w:left="981"/>
        <w:jc w:val="center"/>
        <w:rPr>
          <w:b/>
        </w:rPr>
      </w:pPr>
    </w:p>
    <w:p w:rsidR="00FB5014" w:rsidRDefault="00E354BD">
      <w:pPr>
        <w:spacing w:after="4" w:line="264" w:lineRule="auto"/>
        <w:ind w:left="98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Величина коэффициентов, учитывающих территориальное расположение сезонного (летнего) кафе (Км) (Таблица №2) </w:t>
      </w:r>
    </w:p>
    <w:tbl>
      <w:tblPr>
        <w:tblStyle w:val="TableGrid"/>
        <w:tblW w:w="9915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6" w:type="dxa"/>
          <w:bottom w:w="194" w:type="dxa"/>
          <w:right w:w="107" w:type="dxa"/>
        </w:tblCellMar>
        <w:tblLook w:val="04A0" w:firstRow="1" w:lastRow="0" w:firstColumn="1" w:lastColumn="0" w:noHBand="0" w:noVBand="1"/>
      </w:tblPr>
      <w:tblGrid>
        <w:gridCol w:w="764"/>
        <w:gridCol w:w="7890"/>
        <w:gridCol w:w="1261"/>
      </w:tblGrid>
      <w:tr w:rsidR="00FB5014">
        <w:trPr>
          <w:trHeight w:val="74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014" w:rsidRDefault="00E354BD">
            <w:pPr>
              <w:spacing w:line="259" w:lineRule="auto"/>
              <w:ind w:left="106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014" w:rsidRDefault="00E354BD">
            <w:pPr>
              <w:spacing w:line="259" w:lineRule="auto"/>
              <w:ind w:right="13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Территории городского округа Котельники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5014" w:rsidRDefault="00E354BD">
            <w:pPr>
              <w:spacing w:line="259" w:lineRule="auto"/>
              <w:ind w:left="70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Км </w:t>
            </w:r>
          </w:p>
        </w:tc>
      </w:tr>
      <w:tr w:rsidR="00FB5014">
        <w:trPr>
          <w:trHeight w:val="84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014" w:rsidRDefault="00E354BD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 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014" w:rsidRDefault="00E354B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Городской округ Котельники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014" w:rsidRDefault="00E354BD">
            <w:pPr>
              <w:spacing w:line="259" w:lineRule="auto"/>
              <w:ind w:left="91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1,0 </w:t>
            </w:r>
          </w:p>
        </w:tc>
      </w:tr>
    </w:tbl>
    <w:p w:rsidR="00FB5014" w:rsidRDefault="00FB5014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FB5014" w:rsidRDefault="00FB5014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FB5014" w:rsidRDefault="00FB5014">
      <w:pPr>
        <w:rPr>
          <w:sz w:val="28"/>
          <w:szCs w:val="28"/>
        </w:rPr>
      </w:pPr>
    </w:p>
    <w:p w:rsidR="00FB5014" w:rsidRDefault="00FB5014"/>
    <w:sectPr w:rsidR="00FB5014">
      <w:headerReference w:type="default" r:id="rId6"/>
      <w:headerReference w:type="first" r:id="rId7"/>
      <w:pgSz w:w="11906" w:h="16838"/>
      <w:pgMar w:top="1275" w:right="850" w:bottom="1134" w:left="1134" w:header="85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BD" w:rsidRDefault="00E354BD">
      <w:r>
        <w:separator/>
      </w:r>
    </w:p>
  </w:endnote>
  <w:endnote w:type="continuationSeparator" w:id="0">
    <w:p w:rsidR="00E354BD" w:rsidRDefault="00E3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BD" w:rsidRDefault="00E354BD">
      <w:r>
        <w:separator/>
      </w:r>
    </w:p>
  </w:footnote>
  <w:footnote w:type="continuationSeparator" w:id="0">
    <w:p w:rsidR="00E354BD" w:rsidRDefault="00E3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14" w:rsidRDefault="00FB5014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14" w:rsidRDefault="00E354B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B5014" w:rsidRDefault="00FB5014">
                          <w:pPr>
                            <w:pStyle w:val="ad"/>
                            <w:rPr>
                              <w:rStyle w:val="a4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47.4pt;margin-top:0.05pt;width:1.2pt;height:13.65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14"/>
    <w:rsid w:val="0095134A"/>
    <w:rsid w:val="00E354BD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EFA52-1FB2-44EC-9E69-17634A79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17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90017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styleId="a4">
    <w:name w:val="page number"/>
    <w:qFormat/>
    <w:rsid w:val="00090017"/>
    <w:rPr>
      <w:rFonts w:cs="Times New Roman"/>
    </w:rPr>
  </w:style>
  <w:style w:type="character" w:customStyle="1" w:styleId="a5">
    <w:name w:val="Основной текст Знак"/>
    <w:qFormat/>
    <w:rsid w:val="00090017"/>
    <w:rPr>
      <w:rFonts w:cs="Times New Roman"/>
      <w:sz w:val="24"/>
    </w:rPr>
  </w:style>
  <w:style w:type="character" w:customStyle="1" w:styleId="1">
    <w:name w:val="Основной текст Знак1"/>
    <w:basedOn w:val="a0"/>
    <w:uiPriority w:val="99"/>
    <w:semiHidden/>
    <w:qFormat/>
    <w:rsid w:val="00090017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D35C73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02D3D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285F45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nhideWhenUsed/>
    <w:rsid w:val="00090017"/>
    <w:pPr>
      <w:widowControl/>
      <w:suppressAutoHyphens w:val="0"/>
      <w:spacing w:after="120"/>
      <w:textAlignment w:val="auto"/>
    </w:pPr>
    <w:rPr>
      <w:rFonts w:asciiTheme="minorHAnsi" w:eastAsiaTheme="minorHAnsi" w:hAnsiTheme="minorHAnsi"/>
      <w:kern w:val="0"/>
      <w:sz w:val="24"/>
      <w:szCs w:val="22"/>
      <w:lang w:eastAsia="en-US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90017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d">
    <w:name w:val="header"/>
    <w:basedOn w:val="Standard"/>
    <w:uiPriority w:val="99"/>
    <w:rsid w:val="00090017"/>
    <w:pPr>
      <w:suppressLineNumbers/>
      <w:tabs>
        <w:tab w:val="center" w:pos="4677"/>
        <w:tab w:val="right" w:pos="9355"/>
      </w:tabs>
    </w:pPr>
  </w:style>
  <w:style w:type="paragraph" w:customStyle="1" w:styleId="ConsPlusNormal0">
    <w:name w:val="ConsPlusNormal"/>
    <w:uiPriority w:val="99"/>
    <w:qFormat/>
    <w:rsid w:val="00090017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Cs w:val="20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D35C73"/>
    <w:rPr>
      <w:rFonts w:ascii="Segoe UI" w:hAnsi="Segoe UI" w:cs="Segoe UI"/>
      <w:sz w:val="18"/>
      <w:szCs w:val="18"/>
    </w:rPr>
  </w:style>
  <w:style w:type="paragraph" w:styleId="af">
    <w:name w:val="footer"/>
    <w:basedOn w:val="a"/>
    <w:uiPriority w:val="99"/>
    <w:unhideWhenUsed/>
    <w:rsid w:val="00002D3D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</w:style>
  <w:style w:type="table" w:customStyle="1" w:styleId="TableGrid">
    <w:name w:val="TableGrid"/>
    <w:rsid w:val="00732C98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dc:description/>
  <cp:lastModifiedBy>user-infopol</cp:lastModifiedBy>
  <cp:revision>2</cp:revision>
  <cp:lastPrinted>2023-03-14T15:10:00Z</cp:lastPrinted>
  <dcterms:created xsi:type="dcterms:W3CDTF">2023-05-25T12:52:00Z</dcterms:created>
  <dcterms:modified xsi:type="dcterms:W3CDTF">2023-05-25T12:52:00Z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